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D38F" w14:textId="77777777" w:rsidR="002B772B" w:rsidRDefault="002B772B" w:rsidP="002B772B">
      <w:pPr>
        <w:framePr w:w="5569" w:wrap="auto" w:vAnchor="page" w:hAnchor="page" w:x="3277" w:y="2509"/>
        <w:widowControl w:val="0"/>
        <w:autoSpaceDE w:val="0"/>
        <w:autoSpaceDN w:val="0"/>
        <w:spacing w:before="0" w:after="0" w:line="311" w:lineRule="exact"/>
        <w:jc w:val="left"/>
        <w:rPr>
          <w:rFonts w:ascii="Times New Roman"/>
          <w:color w:val="000000"/>
          <w:sz w:val="28"/>
        </w:rPr>
      </w:pPr>
      <w:proofErr w:type="spellStart"/>
      <w:r w:rsidRPr="00A300DC">
        <w:rPr>
          <w:rFonts w:ascii="Times New Roman" w:hAnsi="Times New Roman" w:cs="Times New Roman"/>
          <w:color w:val="000000"/>
          <w:sz w:val="28"/>
        </w:rPr>
        <w:t>Komenského</w:t>
      </w:r>
      <w:proofErr w:type="spellEnd"/>
      <w:r w:rsidRPr="00A300DC">
        <w:rPr>
          <w:rFonts w:ascii="Times New Roman" w:hAnsi="Times New Roman" w:cs="Times New Roman"/>
          <w:color w:val="000000"/>
          <w:sz w:val="28"/>
        </w:rPr>
        <w:t xml:space="preserve"> 106/2, 017 01 </w:t>
      </w:r>
      <w:proofErr w:type="spellStart"/>
      <w:r w:rsidRPr="00A300DC">
        <w:rPr>
          <w:rFonts w:ascii="Times New Roman" w:hAnsi="Times New Roman" w:cs="Times New Roman"/>
          <w:color w:val="000000"/>
          <w:sz w:val="28"/>
        </w:rPr>
        <w:t>Považská</w:t>
      </w:r>
      <w:proofErr w:type="spellEnd"/>
      <w:r w:rsidRPr="00A300D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A300DC">
        <w:rPr>
          <w:rFonts w:ascii="Times New Roman" w:hAnsi="Times New Roman" w:cs="Times New Roman"/>
          <w:color w:val="000000"/>
          <w:sz w:val="28"/>
        </w:rPr>
        <w:t>Bystrica</w:t>
      </w:r>
      <w:proofErr w:type="spellEnd"/>
    </w:p>
    <w:p w14:paraId="1BFEC98D" w14:textId="76C781B9" w:rsidR="002B772B" w:rsidRDefault="002B772B" w:rsidP="002B772B">
      <w:pPr>
        <w:framePr w:w="4587" w:wrap="auto" w:hAnchor="text" w:x="6094" w:y="342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M</w:t>
      </w:r>
      <w:r>
        <w:rPr>
          <w:rFonts w:ascii="Times New Roman"/>
          <w:b/>
          <w:i/>
          <w:color w:val="000000"/>
          <w:sz w:val="24"/>
        </w:rPr>
        <w:t>á</w:t>
      </w:r>
      <w:r>
        <w:rPr>
          <w:rFonts w:ascii="Times New Roman"/>
          <w:b/>
          <w:i/>
          <w:color w:val="000000"/>
          <w:sz w:val="24"/>
        </w:rPr>
        <w:t xml:space="preserve">ria </w:t>
      </w:r>
      <w:proofErr w:type="spellStart"/>
      <w:r>
        <w:rPr>
          <w:rFonts w:ascii="Times New Roman"/>
          <w:b/>
          <w:i/>
          <w:color w:val="000000"/>
          <w:sz w:val="24"/>
        </w:rPr>
        <w:t>Budayov</w:t>
      </w:r>
      <w:r>
        <w:rPr>
          <w:rFonts w:ascii="Times New Roman"/>
          <w:b/>
          <w:i/>
          <w:color w:val="000000"/>
          <w:sz w:val="24"/>
        </w:rPr>
        <w:t>á</w:t>
      </w:r>
      <w:proofErr w:type="spellEnd"/>
    </w:p>
    <w:p w14:paraId="1886ED55" w14:textId="77777777" w:rsidR="002B772B" w:rsidRDefault="002B772B" w:rsidP="002B772B">
      <w:pPr>
        <w:framePr w:w="4587" w:wrap="auto" w:hAnchor="text" w:x="6094" w:y="3425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Centrum </w:t>
      </w:r>
      <w:proofErr w:type="spellStart"/>
      <w:r>
        <w:rPr>
          <w:rFonts w:ascii="Times New Roman"/>
          <w:color w:val="000000"/>
          <w:sz w:val="24"/>
        </w:rPr>
        <w:t>poradenstva</w:t>
      </w:r>
      <w:proofErr w:type="spellEnd"/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z w:val="24"/>
        </w:rPr>
        <w:t>prevencie</w:t>
      </w:r>
    </w:p>
    <w:p w14:paraId="0B4B97D2" w14:textId="77777777" w:rsidR="002B772B" w:rsidRDefault="002B772B" w:rsidP="002B772B">
      <w:pPr>
        <w:framePr w:w="4587" w:wrap="auto" w:hAnchor="text" w:x="6094" w:y="3425"/>
        <w:widowControl w:val="0"/>
        <w:autoSpaceDE w:val="0"/>
        <w:autoSpaceDN w:val="0"/>
        <w:spacing w:before="10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Komenského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106/2</w:t>
      </w:r>
    </w:p>
    <w:p w14:paraId="509827F5" w14:textId="1D4113A4" w:rsidR="002B772B" w:rsidRDefault="002B772B" w:rsidP="002B772B">
      <w:pPr>
        <w:framePr w:w="4587" w:wrap="auto" w:hAnchor="text" w:x="6094" w:y="3425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01701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Považská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Bystrica</w:t>
      </w:r>
      <w:proofErr w:type="spellEnd"/>
    </w:p>
    <w:p w14:paraId="6E0C00C5" w14:textId="77777777" w:rsidR="002B772B" w:rsidRDefault="002B772B" w:rsidP="002B772B">
      <w:pPr>
        <w:framePr w:w="360" w:wrap="auto" w:hAnchor="text" w:x="6094" w:y="425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</w:p>
    <w:p w14:paraId="087F79AA" w14:textId="742D2683" w:rsidR="002B772B" w:rsidRDefault="002B772B" w:rsidP="00AA7992">
      <w:pPr>
        <w:framePr w:w="1724" w:wrap="auto" w:vAnchor="page" w:hAnchor="page" w:x="1381" w:y="622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Číslo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r w:rsidR="00AA7992">
        <w:rPr>
          <w:rFonts w:ascii="Times New Roman" w:hAnsi="Times New Roman" w:cs="Times New Roman"/>
          <w:color w:val="000000"/>
          <w:spacing w:val="-1"/>
          <w:sz w:val="24"/>
        </w:rPr>
        <w:t>j.</w:t>
      </w:r>
      <w:r>
        <w:rPr>
          <w:rFonts w:ascii="Times New Roman" w:hAnsi="Times New Roman" w:cs="Times New Roman"/>
          <w:color w:val="000000"/>
          <w:spacing w:val="-1"/>
          <w:sz w:val="24"/>
        </w:rPr>
        <w:t>:</w:t>
      </w:r>
    </w:p>
    <w:p w14:paraId="1D6B2CF3" w14:textId="77777777" w:rsidR="002B772B" w:rsidRDefault="002B772B" w:rsidP="00AA7992">
      <w:pPr>
        <w:framePr w:w="3145" w:wrap="auto" w:vAnchor="page" w:hAnchor="page" w:x="1369" w:y="664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Považskej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Bystrici,</w:t>
      </w:r>
      <w:r>
        <w:rPr>
          <w:rFonts w:ascii="Times New Roman"/>
          <w:color w:val="000000"/>
          <w:spacing w:val="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dňa</w:t>
      </w:r>
      <w:proofErr w:type="spellEnd"/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</w:t>
      </w:r>
    </w:p>
    <w:p w14:paraId="33A836FA" w14:textId="77777777" w:rsidR="002B772B" w:rsidRDefault="002B772B" w:rsidP="00AA7992">
      <w:pPr>
        <w:framePr w:w="2468" w:wrap="auto" w:vAnchor="page" w:hAnchor="page" w:x="4525" w:y="7513"/>
        <w:widowControl w:val="0"/>
        <w:autoSpaceDE w:val="0"/>
        <w:autoSpaceDN w:val="0"/>
        <w:spacing w:before="0" w:after="0" w:line="311" w:lineRule="exact"/>
        <w:jc w:val="left"/>
        <w:rPr>
          <w:rFonts w:ascii="Times New Roman"/>
          <w:b/>
          <w:color w:val="000000"/>
          <w:sz w:val="28"/>
        </w:rPr>
      </w:pPr>
      <w:r>
        <w:rPr>
          <w:rFonts w:ascii="Times New Roman"/>
          <w:b/>
          <w:color w:val="000000"/>
          <w:sz w:val="28"/>
        </w:rPr>
        <w:t>P O</w:t>
      </w:r>
      <w:r>
        <w:rPr>
          <w:rFonts w:ascii="Times New Roman"/>
          <w:b/>
          <w:color w:val="000000"/>
          <w:spacing w:val="1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V</w:t>
      </w:r>
      <w:r>
        <w:rPr>
          <w:rFonts w:ascii="Times New Roman"/>
          <w:b/>
          <w:color w:val="000000"/>
          <w:spacing w:val="3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E</w:t>
      </w:r>
      <w:r>
        <w:rPr>
          <w:rFonts w:ascii="Times New Roman"/>
          <w:b/>
          <w:color w:val="000000"/>
          <w:spacing w:val="-4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R</w:t>
      </w:r>
      <w:r>
        <w:rPr>
          <w:rFonts w:ascii="Times New Roman"/>
          <w:b/>
          <w:color w:val="000000"/>
          <w:spacing w:val="3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E</w:t>
      </w:r>
      <w:r>
        <w:rPr>
          <w:rFonts w:ascii="Times New Roman"/>
          <w:b/>
          <w:color w:val="000000"/>
          <w:spacing w:val="-4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N</w:t>
      </w:r>
      <w:r>
        <w:rPr>
          <w:rFonts w:ascii="Times New Roman"/>
          <w:b/>
          <w:color w:val="000000"/>
          <w:spacing w:val="3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I E</w:t>
      </w:r>
    </w:p>
    <w:p w14:paraId="5751E059" w14:textId="74FB95F0" w:rsidR="002B772B" w:rsidRDefault="002B772B" w:rsidP="00AA7992">
      <w:pPr>
        <w:framePr w:w="9308" w:wrap="auto" w:vAnchor="page" w:hAnchor="page" w:x="1165" w:y="843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Mgr.</w:t>
      </w:r>
      <w:r>
        <w:rPr>
          <w:rFonts w:ascii="Times New Roman"/>
          <w:color w:val="000000"/>
          <w:spacing w:val="94"/>
          <w:sz w:val="24"/>
        </w:rPr>
        <w:t xml:space="preserve"> </w:t>
      </w:r>
      <w:r w:rsidR="00AA7992">
        <w:rPr>
          <w:rFonts w:ascii="Times New Roman"/>
          <w:color w:val="000000"/>
          <w:sz w:val="24"/>
        </w:rPr>
        <w:t>Katar</w:t>
      </w:r>
      <w:r w:rsidR="00AA7992">
        <w:rPr>
          <w:rFonts w:ascii="Times New Roman"/>
          <w:color w:val="000000"/>
          <w:sz w:val="24"/>
        </w:rPr>
        <w:t>í</w:t>
      </w:r>
      <w:r w:rsidR="00AA7992">
        <w:rPr>
          <w:rFonts w:ascii="Times New Roman"/>
          <w:color w:val="000000"/>
          <w:sz w:val="24"/>
        </w:rPr>
        <w:t>na Tomanov</w:t>
      </w:r>
      <w:r w:rsidR="00AA7992">
        <w:rPr>
          <w:rFonts w:ascii="Times New Roman"/>
          <w:color w:val="000000"/>
          <w:sz w:val="24"/>
        </w:rPr>
        <w:t>á</w:t>
      </w:r>
      <w:r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/>
          <w:color w:val="000000"/>
          <w:spacing w:val="9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štatutárny</w:t>
      </w:r>
      <w:proofErr w:type="spellEnd"/>
      <w:r>
        <w:rPr>
          <w:rFonts w:ascii="Times New Roman"/>
          <w:color w:val="000000"/>
          <w:spacing w:val="94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zástupca</w:t>
      </w:r>
      <w:proofErr w:type="spellEnd"/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/>
          <w:color w:val="000000"/>
          <w:sz w:val="24"/>
        </w:rPr>
        <w:t>Centra</w:t>
      </w:r>
      <w:r>
        <w:rPr>
          <w:rFonts w:ascii="Times New Roman"/>
          <w:color w:val="000000"/>
          <w:spacing w:val="94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poradenstva</w:t>
      </w:r>
      <w:proofErr w:type="spellEnd"/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z w:val="24"/>
        </w:rPr>
        <w:t>prevencie,</w:t>
      </w:r>
    </w:p>
    <w:p w14:paraId="7B1893C4" w14:textId="77777777" w:rsidR="002B772B" w:rsidRDefault="002B772B" w:rsidP="00AA7992">
      <w:pPr>
        <w:framePr w:w="9308" w:wrap="auto" w:vAnchor="page" w:hAnchor="page" w:x="1165" w:y="8437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 w:rsidRPr="00D1125C">
        <w:rPr>
          <w:rFonts w:ascii="Times New Roman" w:hAnsi="Times New Roman" w:cs="Times New Roman"/>
          <w:color w:val="000000"/>
          <w:sz w:val="24"/>
        </w:rPr>
        <w:t>Komenského</w:t>
      </w:r>
      <w:proofErr w:type="spellEnd"/>
      <w:r w:rsidRPr="00D1125C">
        <w:rPr>
          <w:rFonts w:ascii="Times New Roman" w:hAnsi="Times New Roman" w:cs="Times New Roman"/>
          <w:color w:val="000000"/>
          <w:sz w:val="24"/>
        </w:rPr>
        <w:t xml:space="preserve"> 106/2, 017 01 </w:t>
      </w:r>
      <w:proofErr w:type="spellStart"/>
      <w:r w:rsidRPr="00D1125C">
        <w:rPr>
          <w:rFonts w:ascii="Times New Roman" w:hAnsi="Times New Roman" w:cs="Times New Roman"/>
          <w:color w:val="000000"/>
          <w:sz w:val="24"/>
        </w:rPr>
        <w:t>Považská</w:t>
      </w:r>
      <w:proofErr w:type="spellEnd"/>
      <w:r w:rsidRPr="00D1125C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D1125C">
        <w:rPr>
          <w:rFonts w:ascii="Times New Roman" w:hAnsi="Times New Roman" w:cs="Times New Roman"/>
          <w:color w:val="000000"/>
          <w:sz w:val="24"/>
        </w:rPr>
        <w:t>Bystrica</w:t>
      </w:r>
      <w:proofErr w:type="spellEnd"/>
      <w:r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z w:val="24"/>
        </w:rPr>
        <w:t>so</w:t>
      </w:r>
      <w:r>
        <w:rPr>
          <w:rFonts w:ascii="Times New Roman"/>
          <w:color w:val="000000"/>
          <w:spacing w:val="79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sídlom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D1125C">
        <w:rPr>
          <w:rFonts w:ascii="Times New Roman" w:hAnsi="Times New Roman" w:cs="Times New Roman"/>
          <w:color w:val="000000"/>
          <w:sz w:val="24"/>
        </w:rPr>
        <w:t>Komenského</w:t>
      </w:r>
      <w:proofErr w:type="spellEnd"/>
      <w:r w:rsidRPr="00D1125C">
        <w:rPr>
          <w:rFonts w:ascii="Times New Roman" w:hAnsi="Times New Roman" w:cs="Times New Roman"/>
          <w:color w:val="000000"/>
          <w:sz w:val="24"/>
        </w:rPr>
        <w:t xml:space="preserve"> 106/2, 017 01 </w:t>
      </w:r>
      <w:proofErr w:type="spellStart"/>
      <w:r w:rsidRPr="00D1125C">
        <w:rPr>
          <w:rFonts w:ascii="Times New Roman" w:hAnsi="Times New Roman" w:cs="Times New Roman"/>
          <w:color w:val="000000"/>
          <w:sz w:val="24"/>
        </w:rPr>
        <w:t>Považská</w:t>
      </w:r>
      <w:proofErr w:type="spellEnd"/>
      <w:r w:rsidRPr="00D1125C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D1125C">
        <w:rPr>
          <w:rFonts w:ascii="Times New Roman" w:hAnsi="Times New Roman" w:cs="Times New Roman"/>
          <w:color w:val="000000"/>
          <w:sz w:val="24"/>
        </w:rPr>
        <w:t>Bystrica</w:t>
      </w:r>
      <w:proofErr w:type="spellEnd"/>
      <w:r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IČO:42150329</w:t>
      </w:r>
    </w:p>
    <w:p w14:paraId="78E9B372" w14:textId="77777777" w:rsidR="002B772B" w:rsidRDefault="002B772B" w:rsidP="00AA7992">
      <w:pPr>
        <w:framePr w:w="1819" w:wrap="auto" w:vAnchor="page" w:hAnchor="page" w:x="1165" w:y="998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týmto</w:t>
      </w:r>
      <w:proofErr w:type="spellEnd"/>
    </w:p>
    <w:p w14:paraId="38961653" w14:textId="77777777" w:rsidR="002B772B" w:rsidRDefault="002B772B" w:rsidP="00AA7992">
      <w:pPr>
        <w:framePr w:w="1346" w:wrap="auto" w:vAnchor="page" w:hAnchor="page" w:x="4909" w:y="1014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proofErr w:type="spellStart"/>
      <w:r>
        <w:rPr>
          <w:rFonts w:ascii="Times New Roman"/>
          <w:b/>
          <w:color w:val="000000"/>
          <w:sz w:val="24"/>
        </w:rPr>
        <w:t>poverujem</w:t>
      </w:r>
      <w:proofErr w:type="spellEnd"/>
    </w:p>
    <w:p w14:paraId="00ED9387" w14:textId="3386CDF2" w:rsidR="00AA7992" w:rsidRDefault="00AA7992" w:rsidP="00AA7992">
      <w:pPr>
        <w:framePr w:w="9307" w:wrap="auto" w:vAnchor="page" w:hAnchor="page" w:x="1189" w:y="1069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i/>
          <w:color w:val="000000"/>
          <w:spacing w:val="50"/>
          <w:sz w:val="24"/>
        </w:rPr>
      </w:pPr>
      <w:proofErr w:type="spellStart"/>
      <w:r>
        <w:rPr>
          <w:rFonts w:ascii="Times New Roman"/>
          <w:i/>
          <w:color w:val="000000"/>
          <w:spacing w:val="-1"/>
          <w:sz w:val="24"/>
        </w:rPr>
        <w:t>M</w:t>
      </w:r>
      <w:r>
        <w:rPr>
          <w:rFonts w:ascii="Times New Roman"/>
          <w:i/>
          <w:color w:val="000000"/>
          <w:spacing w:val="-1"/>
          <w:sz w:val="24"/>
        </w:rPr>
        <w:t>á</w:t>
      </w:r>
      <w:r>
        <w:rPr>
          <w:rFonts w:ascii="Times New Roman"/>
          <w:i/>
          <w:color w:val="000000"/>
          <w:spacing w:val="-1"/>
          <w:sz w:val="24"/>
        </w:rPr>
        <w:t>riu</w:t>
      </w:r>
      <w:proofErr w:type="spellEnd"/>
      <w:r>
        <w:rPr>
          <w:rFonts w:ascii="Times New Roman"/>
          <w:i/>
          <w:color w:val="000000"/>
          <w:spacing w:val="-1"/>
          <w:sz w:val="24"/>
        </w:rPr>
        <w:t xml:space="preserve"> Budayov</w:t>
      </w:r>
      <w:r>
        <w:rPr>
          <w:rFonts w:ascii="Times New Roman"/>
          <w:i/>
          <w:color w:val="000000"/>
          <w:spacing w:val="-1"/>
          <w:sz w:val="24"/>
        </w:rPr>
        <w:t>ú</w:t>
      </w:r>
      <w:r w:rsidR="002B772B">
        <w:rPr>
          <w:rFonts w:ascii="Times New Roman" w:hAnsi="Times New Roman" w:cs="Times New Roman"/>
          <w:i/>
          <w:color w:val="000000"/>
          <w:sz w:val="24"/>
        </w:rPr>
        <w:t>,</w:t>
      </w:r>
      <w:r w:rsidR="002B772B">
        <w:rPr>
          <w:rFonts w:ascii="Times New Roman"/>
          <w:i/>
          <w:color w:val="000000"/>
          <w:spacing w:val="48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</w:rPr>
        <w:t>ekonómka</w:t>
      </w:r>
      <w:proofErr w:type="spellEnd"/>
      <w:r w:rsidR="002B772B">
        <w:rPr>
          <w:rFonts w:ascii="Times New Roman"/>
          <w:i/>
          <w:color w:val="000000"/>
          <w:spacing w:val="50"/>
          <w:sz w:val="24"/>
        </w:rPr>
        <w:t xml:space="preserve"> </w:t>
      </w:r>
    </w:p>
    <w:p w14:paraId="70E33602" w14:textId="72B41098" w:rsidR="002B772B" w:rsidRDefault="002B772B" w:rsidP="00AA7992">
      <w:pPr>
        <w:framePr w:w="9307" w:wrap="auto" w:vAnchor="page" w:hAnchor="page" w:x="1189" w:y="1069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pacing w:val="2"/>
          <w:sz w:val="24"/>
        </w:rPr>
      </w:pPr>
      <w:r>
        <w:rPr>
          <w:rFonts w:ascii="Times New Roman"/>
          <w:color w:val="000000"/>
          <w:sz w:val="24"/>
        </w:rPr>
        <w:t>Centra</w:t>
      </w:r>
      <w:r>
        <w:rPr>
          <w:rFonts w:ascii="Times New Roman"/>
          <w:color w:val="000000"/>
          <w:spacing w:val="46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poradenstva</w:t>
      </w:r>
      <w:proofErr w:type="spellEnd"/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z w:val="24"/>
        </w:rPr>
        <w:t>prevencie,</w:t>
      </w:r>
      <w:r w:rsidRPr="00D1125C">
        <w:t xml:space="preserve"> </w:t>
      </w:r>
      <w:proofErr w:type="spellStart"/>
      <w:r w:rsidRPr="00D1125C">
        <w:rPr>
          <w:rFonts w:ascii="Times New Roman"/>
          <w:color w:val="000000"/>
          <w:sz w:val="24"/>
        </w:rPr>
        <w:t>Komensk</w:t>
      </w:r>
      <w:r w:rsidRPr="00D1125C">
        <w:rPr>
          <w:rFonts w:ascii="Times New Roman"/>
          <w:color w:val="000000"/>
          <w:sz w:val="24"/>
        </w:rPr>
        <w:t>é</w:t>
      </w:r>
      <w:r w:rsidRPr="00D1125C">
        <w:rPr>
          <w:rFonts w:ascii="Times New Roman"/>
          <w:color w:val="000000"/>
          <w:sz w:val="24"/>
        </w:rPr>
        <w:t>ho</w:t>
      </w:r>
      <w:proofErr w:type="spellEnd"/>
      <w:r w:rsidRPr="00D1125C">
        <w:rPr>
          <w:rFonts w:ascii="Times New Roman"/>
          <w:color w:val="000000"/>
          <w:sz w:val="24"/>
        </w:rPr>
        <w:t xml:space="preserve"> 106/2, 017 01 </w:t>
      </w:r>
      <w:proofErr w:type="spellStart"/>
      <w:r w:rsidRPr="00D1125C">
        <w:rPr>
          <w:rFonts w:ascii="Times New Roman"/>
          <w:color w:val="000000"/>
          <w:sz w:val="24"/>
        </w:rPr>
        <w:t>Pova</w:t>
      </w:r>
      <w:r w:rsidRPr="00D1125C">
        <w:rPr>
          <w:rFonts w:ascii="Times New Roman"/>
          <w:color w:val="000000"/>
          <w:sz w:val="24"/>
        </w:rPr>
        <w:t>ž</w:t>
      </w:r>
      <w:r w:rsidRPr="00D1125C">
        <w:rPr>
          <w:rFonts w:ascii="Times New Roman"/>
          <w:color w:val="000000"/>
          <w:sz w:val="24"/>
        </w:rPr>
        <w:t>sk</w:t>
      </w:r>
      <w:r w:rsidRPr="00D1125C">
        <w:rPr>
          <w:rFonts w:ascii="Times New Roman"/>
          <w:color w:val="000000"/>
          <w:sz w:val="24"/>
        </w:rPr>
        <w:t>á</w:t>
      </w:r>
      <w:proofErr w:type="spellEnd"/>
      <w:r w:rsidRPr="00D1125C">
        <w:rPr>
          <w:rFonts w:ascii="Times New Roman"/>
          <w:color w:val="000000"/>
          <w:sz w:val="24"/>
        </w:rPr>
        <w:t xml:space="preserve"> </w:t>
      </w:r>
      <w:proofErr w:type="spellStart"/>
      <w:r w:rsidRPr="00D1125C">
        <w:rPr>
          <w:rFonts w:ascii="Times New Roman"/>
          <w:color w:val="000000"/>
          <w:sz w:val="24"/>
        </w:rPr>
        <w:t>Bystrica</w:t>
      </w:r>
      <w:proofErr w:type="spellEnd"/>
      <w:r>
        <w:rPr>
          <w:rFonts w:ascii="Times New Roman"/>
          <w:color w:val="000000"/>
          <w:spacing w:val="51"/>
          <w:sz w:val="24"/>
        </w:rPr>
        <w:t xml:space="preserve"> </w:t>
      </w:r>
    </w:p>
    <w:p w14:paraId="579BCBFB" w14:textId="77777777" w:rsidR="002B772B" w:rsidRDefault="002B772B" w:rsidP="00AA7992">
      <w:pPr>
        <w:framePr w:w="9307" w:wrap="auto" w:vAnchor="page" w:hAnchor="page" w:x="1189" w:y="1069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pacing w:val="2"/>
          <w:sz w:val="24"/>
        </w:rPr>
        <w:t>na</w:t>
      </w:r>
      <w:proofErr w:type="spellEnd"/>
      <w:r>
        <w:rPr>
          <w:rFonts w:ascii="Times New Roman"/>
          <w:color w:val="000000"/>
          <w:spacing w:val="5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vykonanie</w:t>
      </w:r>
      <w:proofErr w:type="spellEnd"/>
      <w:r>
        <w:rPr>
          <w:rFonts w:ascii="Times New Roman"/>
          <w:color w:val="000000"/>
          <w:spacing w:val="7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základnej</w:t>
      </w:r>
      <w:proofErr w:type="spellEnd"/>
      <w:r>
        <w:rPr>
          <w:rFonts w:ascii="Times New Roman"/>
          <w:color w:val="000000"/>
          <w:spacing w:val="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finančnej</w:t>
      </w:r>
      <w:proofErr w:type="spellEnd"/>
      <w:r>
        <w:rPr>
          <w:rFonts w:ascii="Times New Roman"/>
          <w:color w:val="000000"/>
          <w:spacing w:val="7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kontroly</w:t>
      </w:r>
      <w:proofErr w:type="spellEnd"/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z w:val="24"/>
        </w:rPr>
        <w:t>v</w:t>
      </w:r>
      <w:r>
        <w:rPr>
          <w:rFonts w:ascii="Times New Roman"/>
          <w:color w:val="000000"/>
          <w:spacing w:val="7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zmysle</w:t>
      </w:r>
      <w:proofErr w:type="spellEnd"/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§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z w:val="24"/>
        </w:rPr>
        <w:t>7</w:t>
      </w:r>
      <w:r>
        <w:rPr>
          <w:rFonts w:ascii="Times New Roman"/>
          <w:color w:val="000000"/>
          <w:spacing w:val="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zákona</w:t>
      </w:r>
      <w:proofErr w:type="spellEnd"/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č.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z w:val="24"/>
        </w:rPr>
        <w:t>357/2015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z w:val="24"/>
        </w:rPr>
        <w:t>Z.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z w:val="24"/>
        </w:rPr>
        <w:t>z.</w:t>
      </w:r>
    </w:p>
    <w:p w14:paraId="0EED53B3" w14:textId="77777777" w:rsidR="002B772B" w:rsidRDefault="002B772B" w:rsidP="00AA7992">
      <w:pPr>
        <w:framePr w:w="9307" w:wrap="auto" w:vAnchor="page" w:hAnchor="page" w:x="1189" w:y="1069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finančnej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kontrole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proofErr w:type="gramStart"/>
      <w:r>
        <w:rPr>
          <w:rFonts w:ascii="Times New Roman"/>
          <w:color w:val="000000"/>
          <w:sz w:val="24"/>
        </w:rPr>
        <w:t>a</w:t>
      </w:r>
      <w:proofErr w:type="gramEnd"/>
      <w:r>
        <w:rPr>
          <w:rFonts w:ascii="Times New Roman"/>
          <w:color w:val="000000"/>
          <w:spacing w:val="-3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audite</w:t>
      </w:r>
      <w:proofErr w:type="spellEnd"/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a o </w:t>
      </w:r>
      <w:proofErr w:type="spellStart"/>
      <w:r>
        <w:rPr>
          <w:rFonts w:ascii="Times New Roman"/>
          <w:color w:val="000000"/>
          <w:spacing w:val="-1"/>
          <w:sz w:val="24"/>
        </w:rPr>
        <w:t>zmene</w:t>
      </w:r>
      <w:proofErr w:type="spellEnd"/>
      <w:r>
        <w:rPr>
          <w:rFonts w:ascii="Times New Roman"/>
          <w:color w:val="000000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doplnení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niektorých</w:t>
      </w:r>
      <w:proofErr w:type="spellEnd"/>
      <w:r>
        <w:rPr>
          <w:rFonts w:ascii="Times New Roman"/>
          <w:color w:val="000000"/>
          <w:spacing w:val="-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zákonov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14:paraId="41B0A2A4" w14:textId="77777777" w:rsidR="002B772B" w:rsidRDefault="002B772B" w:rsidP="002B772B">
      <w:pPr>
        <w:framePr w:w="5509" w:wrap="auto" w:hAnchor="text" w:x="1416" w:y="1104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Poverenie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je</w:t>
      </w:r>
      <w:r>
        <w:rPr>
          <w:rFonts w:ascii="Times New Roman"/>
          <w:color w:val="000000"/>
          <w:spacing w:val="-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účinné</w:t>
      </w:r>
      <w:proofErr w:type="spellEnd"/>
      <w:r>
        <w:rPr>
          <w:rFonts w:ascii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</w:rPr>
        <w:t>dňom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</w:rPr>
        <w:t>: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</w:t>
      </w:r>
    </w:p>
    <w:p w14:paraId="305C324A" w14:textId="77777777" w:rsidR="002B772B" w:rsidRDefault="002B772B" w:rsidP="002B772B">
      <w:pPr>
        <w:framePr w:w="5509" w:wrap="auto" w:hAnchor="text" w:x="1416" w:y="1104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Účinnosť</w:t>
      </w:r>
      <w:proofErr w:type="spellEnd"/>
      <w:r>
        <w:rPr>
          <w:rFonts w:ascii="Times New Roman"/>
          <w:color w:val="000000"/>
          <w:spacing w:val="3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poverenia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</w:rPr>
        <w:t>počas</w:t>
      </w:r>
      <w:proofErr w:type="spellEnd"/>
      <w:r>
        <w:rPr>
          <w:rFonts w:ascii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trvania</w:t>
      </w:r>
      <w:proofErr w:type="spellEnd"/>
      <w:r>
        <w:rPr>
          <w:rFonts w:ascii="Times New Roman"/>
          <w:color w:val="000000"/>
          <w:spacing w:val="-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pracovného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pomeru</w:t>
      </w:r>
      <w:proofErr w:type="spellEnd"/>
      <w:r>
        <w:rPr>
          <w:rFonts w:ascii="Times New Roman"/>
          <w:color w:val="000000"/>
          <w:sz w:val="24"/>
        </w:rPr>
        <w:t>.</w:t>
      </w:r>
    </w:p>
    <w:p w14:paraId="5C020A03" w14:textId="77777777" w:rsidR="002B772B" w:rsidRDefault="002B772B" w:rsidP="002B772B">
      <w:pPr>
        <w:framePr w:w="1829" w:wrap="auto" w:hAnchor="text" w:x="1416" w:y="1187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Poverenie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prijal</w:t>
      </w:r>
      <w:proofErr w:type="spellEnd"/>
      <w:r>
        <w:rPr>
          <w:rFonts w:ascii="Times New Roman"/>
          <w:color w:val="000000"/>
          <w:sz w:val="24"/>
        </w:rPr>
        <w:t>:</w:t>
      </w:r>
    </w:p>
    <w:p w14:paraId="5546F9B8" w14:textId="77777777" w:rsidR="002B772B" w:rsidRDefault="002B772B" w:rsidP="002B772B">
      <w:pPr>
        <w:framePr w:w="3494" w:wrap="auto" w:hAnchor="text" w:x="6636" w:y="1325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Mgr.</w:t>
      </w:r>
      <w:r>
        <w:rPr>
          <w:rFonts w:ascii="Times New Roman"/>
          <w:b/>
          <w:color w:val="000000"/>
          <w:spacing w:val="-2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Katar</w:t>
      </w:r>
      <w:r>
        <w:rPr>
          <w:rFonts w:ascii="Times New Roman"/>
          <w:b/>
          <w:color w:val="000000"/>
          <w:sz w:val="24"/>
        </w:rPr>
        <w:t>í</w:t>
      </w:r>
      <w:r>
        <w:rPr>
          <w:rFonts w:ascii="Times New Roman"/>
          <w:b/>
          <w:color w:val="000000"/>
          <w:sz w:val="24"/>
        </w:rPr>
        <w:t>na Tomanov</w:t>
      </w:r>
      <w:r>
        <w:rPr>
          <w:rFonts w:ascii="Times New Roman"/>
          <w:b/>
          <w:color w:val="000000"/>
          <w:sz w:val="24"/>
        </w:rPr>
        <w:t>á</w:t>
      </w:r>
    </w:p>
    <w:p w14:paraId="1EE6DF83" w14:textId="77777777" w:rsidR="002B772B" w:rsidRDefault="002B772B" w:rsidP="002B772B">
      <w:pPr>
        <w:framePr w:w="2556" w:wrap="auto" w:hAnchor="text" w:x="6876" w:y="1352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štatutárny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zástupca</w:t>
      </w:r>
      <w:proofErr w:type="spellEnd"/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z w:val="24"/>
        </w:rPr>
        <w:t>CPP</w:t>
      </w:r>
    </w:p>
    <w:p w14:paraId="0A870ADA" w14:textId="5BEC572D" w:rsidR="002B772B" w:rsidRPr="002B772B" w:rsidRDefault="002B772B" w:rsidP="002B77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72B">
        <w:rPr>
          <w:rFonts w:ascii="Times New Roman" w:hAnsi="Times New Roman" w:cs="Times New Roman"/>
          <w:sz w:val="28"/>
          <w:szCs w:val="28"/>
        </w:rPr>
        <w:t xml:space="preserve">Centrum </w:t>
      </w:r>
      <w:proofErr w:type="spellStart"/>
      <w:r w:rsidRPr="002B772B">
        <w:rPr>
          <w:rFonts w:ascii="Times New Roman" w:hAnsi="Times New Roman" w:cs="Times New Roman"/>
          <w:sz w:val="28"/>
          <w:szCs w:val="28"/>
        </w:rPr>
        <w:t>poradenstva</w:t>
      </w:r>
      <w:proofErr w:type="spellEnd"/>
      <w:r w:rsidRPr="002B772B">
        <w:rPr>
          <w:rFonts w:ascii="Times New Roman" w:hAnsi="Times New Roman" w:cs="Times New Roman"/>
          <w:sz w:val="28"/>
          <w:szCs w:val="28"/>
        </w:rPr>
        <w:t xml:space="preserve"> a prevencie</w:t>
      </w:r>
    </w:p>
    <w:sectPr w:rsidR="002B772B" w:rsidRPr="002B7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2B"/>
    <w:rsid w:val="002B772B"/>
    <w:rsid w:val="00914178"/>
    <w:rsid w:val="00AA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E053"/>
  <w15:chartTrackingRefBased/>
  <w15:docId w15:val="{24CF6D68-6B87-4AD6-97B7-409350DB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B772B"/>
    <w:pPr>
      <w:spacing w:before="120" w:after="240"/>
      <w:jc w:val="both"/>
    </w:pPr>
    <w:rPr>
      <w:rFonts w:eastAsiaTheme="minorEastAsia"/>
      <w:sz w:val="22"/>
      <w:szCs w:val="22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2B772B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B772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B772B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  <w:lang w:val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B772B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B772B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2F5496" w:themeColor="accent1" w:themeShade="BF"/>
      <w:sz w:val="24"/>
      <w:szCs w:val="24"/>
      <w:lang w:val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B772B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B772B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B772B"/>
    <w:pPr>
      <w:keepNext/>
      <w:keepLines/>
      <w:spacing w:before="0" w:after="0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B772B"/>
    <w:pPr>
      <w:keepNext/>
      <w:keepLines/>
      <w:spacing w:before="0" w:after="0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B7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B7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B7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B77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B77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B77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B77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B77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B772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B772B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character" w:customStyle="1" w:styleId="NzovChar">
    <w:name w:val="Názov Char"/>
    <w:basedOn w:val="Predvolenpsmoodseku"/>
    <w:link w:val="Nzov"/>
    <w:uiPriority w:val="10"/>
    <w:rsid w:val="002B7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B772B"/>
    <w:pPr>
      <w:numPr>
        <w:ilvl w:val="1"/>
      </w:numPr>
      <w:spacing w:before="0" w:after="160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character" w:customStyle="1" w:styleId="PodtitulChar">
    <w:name w:val="Podtitul Char"/>
    <w:basedOn w:val="Predvolenpsmoodseku"/>
    <w:link w:val="Podtitul"/>
    <w:uiPriority w:val="11"/>
    <w:rsid w:val="002B7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B772B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4"/>
      <w:szCs w:val="24"/>
      <w:lang w:val="sk-SK"/>
    </w:rPr>
  </w:style>
  <w:style w:type="character" w:customStyle="1" w:styleId="CitciaChar">
    <w:name w:val="Citácia Char"/>
    <w:basedOn w:val="Predvolenpsmoodseku"/>
    <w:link w:val="Citcia"/>
    <w:uiPriority w:val="29"/>
    <w:rsid w:val="002B772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B772B"/>
    <w:pPr>
      <w:spacing w:before="0" w:after="160"/>
      <w:ind w:left="720"/>
      <w:contextualSpacing/>
      <w:jc w:val="left"/>
    </w:pPr>
    <w:rPr>
      <w:rFonts w:eastAsiaTheme="minorHAnsi"/>
      <w:sz w:val="24"/>
      <w:szCs w:val="24"/>
      <w:lang w:val="sk-SK"/>
    </w:rPr>
  </w:style>
  <w:style w:type="character" w:styleId="Intenzvnezvraznenie">
    <w:name w:val="Intense Emphasis"/>
    <w:basedOn w:val="Predvolenpsmoodseku"/>
    <w:uiPriority w:val="21"/>
    <w:qFormat/>
    <w:rsid w:val="002B772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B7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  <w:lang w:val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B772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B7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Poradenstva a prevencie</dc:creator>
  <cp:keywords/>
  <dc:description/>
  <cp:lastModifiedBy>Centrum Poradenstva a prevencie</cp:lastModifiedBy>
  <cp:revision>1</cp:revision>
  <cp:lastPrinted>2025-08-18T05:58:00Z</cp:lastPrinted>
  <dcterms:created xsi:type="dcterms:W3CDTF">2025-08-18T04:54:00Z</dcterms:created>
  <dcterms:modified xsi:type="dcterms:W3CDTF">2025-08-18T05:59:00Z</dcterms:modified>
</cp:coreProperties>
</file>